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lang w:eastAsia="zh-CN"/>
        </w:rPr>
      </w:pPr>
      <w:r>
        <w:rPr>
          <w:rFonts w:ascii="Times New Roman" w:hAnsi="Times New Roman" w:eastAsia="黑体"/>
          <w:b w:val="0"/>
          <w:color w:val="000000"/>
          <w:sz w:val="32"/>
        </w:rPr>
        <w:t>附件1</w:t>
      </w:r>
      <w:r>
        <w:rPr>
          <w:rFonts w:hint="eastAsia" w:ascii="Times New Roman" w:hAnsi="Times New Roman" w:eastAsia="黑体"/>
          <w:b w:val="0"/>
          <w:color w:val="000000"/>
          <w:sz w:val="32"/>
          <w:lang w:eastAsia="zh-CN"/>
        </w:rPr>
        <w:t>：</w:t>
      </w:r>
    </w:p>
    <w:p>
      <w:pPr>
        <w:spacing w:before="0" w:after="0" w:line="600" w:lineRule="exact"/>
        <w:ind w:firstLine="0"/>
        <w:jc w:val="center"/>
      </w:pPr>
      <w:r>
        <w:rPr>
          <w:rFonts w:ascii="Times New Roman" w:hAnsi="Times New Roman" w:eastAsia="方正小标宋_GBK"/>
          <w:b w:val="0"/>
          <w:color w:val="000000"/>
          <w:sz w:val="36"/>
        </w:rPr>
        <w:t>集成电路学院</w:t>
      </w:r>
      <w:r>
        <w:rPr>
          <w:rFonts w:hint="eastAsia" w:ascii="Times New Roman" w:hAnsi="Times New Roman" w:eastAsia="方正小标宋_GBK"/>
          <w:b w:val="0"/>
          <w:color w:val="000000"/>
          <w:sz w:val="36"/>
          <w:lang w:eastAsia="zh-CN"/>
        </w:rPr>
        <w:t>“</w:t>
      </w:r>
      <w:r>
        <w:rPr>
          <w:rFonts w:ascii="Times New Roman" w:hAnsi="Times New Roman" w:eastAsia="方正小标宋_GBK"/>
          <w:b w:val="0"/>
          <w:color w:val="000000"/>
          <w:sz w:val="36"/>
        </w:rPr>
        <w:t>IC</w:t>
      </w:r>
      <w:r>
        <w:rPr>
          <w:rFonts w:hint="eastAsia" w:ascii="Times New Roman" w:hAnsi="Times New Roman" w:eastAsia="方正小标宋_GBK"/>
          <w:b w:val="0"/>
          <w:color w:val="000000"/>
          <w:sz w:val="36"/>
          <w:lang w:eastAsia="zh-CN"/>
        </w:rPr>
        <w:t>”</w:t>
      </w:r>
      <w:r>
        <w:rPr>
          <w:rFonts w:ascii="Times New Roman" w:hAnsi="Times New Roman" w:eastAsia="方正小标宋_GBK"/>
          <w:b w:val="0"/>
          <w:color w:val="000000"/>
          <w:sz w:val="36"/>
        </w:rPr>
        <w:t>杯第二届智能汽车竞赛</w:t>
      </w:r>
    </w:p>
    <w:p>
      <w:pPr>
        <w:spacing w:before="0" w:after="160" w:line="600" w:lineRule="exact"/>
        <w:ind w:firstLine="0"/>
        <w:jc w:val="center"/>
      </w:pPr>
      <w:r>
        <w:rPr>
          <w:rFonts w:ascii="Times New Roman" w:hAnsi="Times New Roman" w:eastAsia="方正小标宋_GBK"/>
          <w:b w:val="0"/>
          <w:color w:val="000000"/>
          <w:sz w:val="36"/>
        </w:rPr>
        <w:t>赛题设置及评分细则</w:t>
      </w: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一、总体说明</w:t>
      </w:r>
    </w:p>
    <w:p>
      <w:pPr>
        <w:spacing w:before="0" w:after="0" w:line="400" w:lineRule="exact"/>
        <w:ind w:firstLine="640"/>
        <w:jc w:val="both"/>
        <w:rPr>
          <w:rFonts w:ascii="Times New Roman" w:hAnsi="Times New Roman" w:eastAsia="仿宋_GB2312"/>
          <w:b w:val="0"/>
          <w:color w:val="000000"/>
          <w:sz w:val="32"/>
        </w:rPr>
      </w:pPr>
      <w:r>
        <w:rPr>
          <w:rFonts w:ascii="Times New Roman" w:hAnsi="Times New Roman" w:eastAsia="仿宋_GB2312"/>
          <w:b w:val="0"/>
          <w:color w:val="000000"/>
          <w:sz w:val="32"/>
        </w:rPr>
        <w:t>本次竞赛设统一综合赛题，围绕智能小车的组装、调试与功能应用展开。竞赛成绩总分＝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阶段性</w:t>
      </w:r>
      <w:r>
        <w:rPr>
          <w:rFonts w:ascii="Times New Roman" w:hAnsi="Times New Roman" w:eastAsia="仿宋_GB2312"/>
          <w:b w:val="0"/>
          <w:color w:val="000000"/>
          <w:sz w:val="32"/>
        </w:rPr>
        <w:t>报告得分×30%＋现场竞赛得分×70%，其中现场竞赛得分＝基础分（80分）＋创新分（20分），满分100分：基础分为五项递进式任务（任务一至任务五），所有参赛队伍均须按顺序完成；创新分为在基础功能上附加实现的其他创新功能，鼓励队伍结合自身兴趣与能力自主拓展。</w:t>
      </w:r>
    </w:p>
    <w:p>
      <w:pPr>
        <w:spacing w:before="0" w:after="0" w:line="400" w:lineRule="exact"/>
        <w:ind w:firstLine="640"/>
        <w:jc w:val="both"/>
        <w:rPr>
          <w:rFonts w:ascii="Times New Roman" w:hAnsi="Times New Roman" w:eastAsia="仿宋_GB2312"/>
          <w:b w:val="0"/>
          <w:color w:val="000000"/>
          <w:sz w:val="32"/>
        </w:rPr>
      </w:pPr>
      <w:r>
        <w:rPr>
          <w:rFonts w:ascii="Times New Roman" w:hAnsi="Times New Roman" w:eastAsia="仿宋_GB2312"/>
          <w:b w:val="0"/>
          <w:color w:val="000000"/>
          <w:sz w:val="32"/>
        </w:rPr>
        <w:t>硬件统一要求：使用单片机为主控</w:t>
      </w:r>
      <w:r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  <w:t>（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如</w:t>
      </w:r>
      <w:bookmarkStart w:id="0" w:name="_GoBack"/>
      <w:bookmarkEnd w:id="0"/>
      <w:r>
        <w:rPr>
          <w:rFonts w:ascii="Times New Roman" w:hAnsi="Times New Roman" w:eastAsia="仿宋_GB2312"/>
          <w:b w:val="0"/>
          <w:color w:val="000000"/>
          <w:sz w:val="32"/>
        </w:rPr>
        <w:t>STM32系列</w:t>
      </w:r>
      <w:r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  <w:t>）</w:t>
      </w:r>
      <w:r>
        <w:rPr>
          <w:rFonts w:ascii="Times New Roman" w:hAnsi="Times New Roman" w:eastAsia="仿宋_GB2312"/>
          <w:b w:val="0"/>
          <w:color w:val="000000"/>
          <w:sz w:val="32"/>
        </w:rPr>
        <w:t>，循迹传感器采用红外循迹模块（如TCRT5000系列，建议3～5路）或灰度循迹模块（建议5～8路），用于黑白线检测与循迹；避障传感器采用超声波模块或TOF模块，遥控采用蓝牙模块及配套手机APP；禁止使用成品闭环整车，核心控制逻辑代码须为参赛队伍自主开发，不得直接套用完整开源成品工程。</w:t>
      </w: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二、基础功能要求与评分（基础分80分）</w:t>
      </w: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仿宋_GB2312"/>
          <w:b w:val="0"/>
          <w:color w:val="000000"/>
          <w:sz w:val="32"/>
        </w:rPr>
        <w:t>基础分共80分，包含五项递进式任务，各功能模块的分值、功能要求与评分要点如下表：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474"/>
        <w:gridCol w:w="3061"/>
        <w:gridCol w:w="1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D9D9D9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任务</w:t>
            </w:r>
          </w:p>
        </w:tc>
        <w:tc>
          <w:tcPr>
            <w:tcW w:w="1474" w:type="dxa"/>
            <w:shd w:val="clear" w:color="auto" w:fill="D9D9D9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比赛内容</w:t>
            </w:r>
          </w:p>
        </w:tc>
        <w:tc>
          <w:tcPr>
            <w:tcW w:w="3061" w:type="dxa"/>
            <w:shd w:val="clear" w:color="auto" w:fill="D9D9D9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分值</w:t>
            </w:r>
          </w:p>
        </w:tc>
        <w:tc>
          <w:tcPr>
            <w:tcW w:w="1928" w:type="dxa"/>
            <w:shd w:val="clear" w:color="auto" w:fill="D9D9D9"/>
          </w:tcPr>
          <w:p>
            <w:pPr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功能要求与评分要点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任务一</w:t>
            </w:r>
          </w:p>
        </w:tc>
        <w:tc>
          <w:tcPr>
            <w:tcW w:w="147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基础电路搭建</w:t>
            </w:r>
          </w:p>
        </w:tc>
        <w:tc>
          <w:tcPr>
            <w:tcW w:w="3061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16分</w:t>
            </w:r>
          </w:p>
        </w:tc>
        <w:tc>
          <w:tcPr>
            <w:tcW w:w="1928" w:type="dxa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现场通电演示，小车前进不少于10cm、后退不少于10cm即判定完成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任务二</w:t>
            </w:r>
          </w:p>
        </w:tc>
        <w:tc>
          <w:tcPr>
            <w:tcW w:w="147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基础寻迹</w:t>
            </w:r>
          </w:p>
        </w:tc>
        <w:tc>
          <w:tcPr>
            <w:tcW w:w="3061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20分</w:t>
            </w:r>
          </w:p>
        </w:tc>
        <w:tc>
          <w:tcPr>
            <w:tcW w:w="1928" w:type="dxa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沿黑线通过直线、弯道与S弯，完整跑完一圈回到起点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任务三</w:t>
            </w:r>
          </w:p>
        </w:tc>
        <w:tc>
          <w:tcPr>
            <w:tcW w:w="147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十字路口寻迹</w:t>
            </w:r>
          </w:p>
        </w:tc>
        <w:tc>
          <w:tcPr>
            <w:tcW w:w="3061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24分</w:t>
            </w:r>
          </w:p>
        </w:tc>
        <w:tc>
          <w:tcPr>
            <w:tcW w:w="1928" w:type="dxa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沿黑线通过十字路口并按指定路线绕圈，完整跑完一圈回到起点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任务四</w:t>
            </w:r>
          </w:p>
        </w:tc>
        <w:tc>
          <w:tcPr>
            <w:tcW w:w="147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避障寻迹</w:t>
            </w:r>
          </w:p>
        </w:tc>
        <w:tc>
          <w:tcPr>
            <w:tcW w:w="3061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12分</w:t>
            </w:r>
          </w:p>
        </w:tc>
        <w:tc>
          <w:tcPr>
            <w:tcW w:w="1928" w:type="dxa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寻迹完成计6分；避障识别并绕行计6分，识别到障碍物但未绕行计2分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任务五</w:t>
            </w:r>
          </w:p>
        </w:tc>
        <w:tc>
          <w:tcPr>
            <w:tcW w:w="1474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蓝牙遥控与自主循迹</w:t>
            </w:r>
          </w:p>
        </w:tc>
        <w:tc>
          <w:tcPr>
            <w:tcW w:w="3061" w:type="dxa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1"/>
              </w:rPr>
              <w:t>8分</w:t>
            </w:r>
          </w:p>
        </w:tc>
        <w:tc>
          <w:tcPr>
            <w:tcW w:w="1928" w:type="dxa"/>
          </w:tcPr>
          <w:p>
            <w:pPr>
              <w:jc w:val="left"/>
            </w:pPr>
            <w:r>
              <w:rPr>
                <w:rFonts w:ascii="宋体" w:hAnsi="宋体" w:eastAsia="宋体"/>
                <w:b w:val="0"/>
                <w:sz w:val="21"/>
              </w:rPr>
              <w:t>从遥控起始点出发，蓝牙遥控回到起点，开启循迹并自主完成一圈</w:t>
            </w:r>
          </w:p>
        </w:tc>
      </w:tr>
    </w:tbl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5401310" cy="3839845"/>
            <wp:effectExtent l="0" t="0" r="889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宋体" w:hAnsi="宋体" w:eastAsia="宋体"/>
          <w:b w:val="0"/>
          <w:sz w:val="20"/>
        </w:rPr>
        <w:t>图1　整体赛道设计参考图</w:t>
      </w:r>
    </w:p>
    <w:p>
      <w:pPr>
        <w:jc w:val="center"/>
      </w:pPr>
      <w:r>
        <w:drawing>
          <wp:inline distT="0" distB="0" distL="114300" distR="114300">
            <wp:extent cx="4319905" cy="2522220"/>
            <wp:effectExtent l="0" t="0" r="4445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2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宋体" w:hAnsi="宋体" w:eastAsia="宋体"/>
          <w:b w:val="0"/>
          <w:sz w:val="20"/>
        </w:rPr>
        <w:t>图2　任务一说明</w:t>
      </w:r>
    </w:p>
    <w:p>
      <w:pPr>
        <w:jc w:val="center"/>
      </w:pPr>
      <w:r>
        <w:drawing>
          <wp:inline distT="0" distB="0" distL="114300" distR="114300">
            <wp:extent cx="4319905" cy="3853815"/>
            <wp:effectExtent l="0" t="0" r="4445" b="133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5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宋体" w:hAnsi="宋体" w:eastAsia="宋体"/>
          <w:b w:val="0"/>
          <w:sz w:val="20"/>
        </w:rPr>
        <w:t>图3　任务二赛道说明</w:t>
      </w:r>
    </w:p>
    <w:p>
      <w:pPr>
        <w:jc w:val="center"/>
      </w:pPr>
      <w:r>
        <w:drawing>
          <wp:inline distT="0" distB="0" distL="114300" distR="114300">
            <wp:extent cx="4319905" cy="3736975"/>
            <wp:effectExtent l="0" t="0" r="4445" b="158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3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宋体" w:hAnsi="宋体" w:eastAsia="宋体"/>
          <w:b w:val="0"/>
          <w:sz w:val="20"/>
        </w:rPr>
        <w:t>图4　任务三赛道说明</w:t>
      </w:r>
    </w:p>
    <w:p>
      <w:pPr>
        <w:jc w:val="center"/>
      </w:pPr>
      <w:r>
        <w:drawing>
          <wp:inline distT="0" distB="0" distL="114300" distR="114300">
            <wp:extent cx="4319905" cy="3853815"/>
            <wp:effectExtent l="0" t="0" r="4445" b="133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5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宋体" w:hAnsi="宋体" w:eastAsia="宋体"/>
          <w:b w:val="0"/>
          <w:sz w:val="20"/>
        </w:rPr>
        <w:t>图5　任务四赛道说明</w:t>
      </w:r>
    </w:p>
    <w:p>
      <w:pPr>
        <w:jc w:val="center"/>
      </w:pPr>
      <w:r>
        <w:drawing>
          <wp:inline distT="0" distB="0" distL="114300" distR="114300">
            <wp:extent cx="4319905" cy="3726180"/>
            <wp:effectExtent l="0" t="0" r="444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26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宋体" w:hAnsi="宋体" w:eastAsia="宋体"/>
          <w:b w:val="0"/>
          <w:sz w:val="20"/>
        </w:rPr>
        <w:t>图6　任务五赛道说明</w:t>
      </w: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三、创新功能要求与评分（创新分20分）</w:t>
      </w: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仿宋_GB2312"/>
          <w:b w:val="0"/>
          <w:color w:val="000000"/>
          <w:sz w:val="32"/>
        </w:rPr>
        <w:t>创新分为在完成基础功能的基础上附加实现的其他创新功能，满分20分。以下为建议参考方向，参赛队伍可任选其一或多个实现，也可自行构思其他创新功能；评委按所实现创新功能的数量、创新性与完成度综合评分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474"/>
        <w:gridCol w:w="3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序号</w:t>
            </w:r>
          </w:p>
        </w:tc>
        <w:tc>
          <w:tcPr>
            <w:tcW w:w="1474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创新功能方向</w:t>
            </w:r>
          </w:p>
        </w:tc>
        <w:tc>
          <w:tcPr>
            <w:tcW w:w="3061" w:type="dxa"/>
            <w:shd w:val="clear" w:color="auto" w:fill="D9D9D9"/>
          </w:tcPr>
          <w:p>
            <w:pPr>
              <w:spacing w:after="0" w:line="36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功能说明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spacing w:after="0" w:line="30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1</w:t>
            </w:r>
          </w:p>
        </w:tc>
        <w:tc>
          <w:tcPr>
            <w:tcW w:w="1474" w:type="dxa"/>
          </w:tcPr>
          <w:p>
            <w:pPr>
              <w:spacing w:after="0" w:line="300" w:lineRule="exact"/>
              <w:ind w:firstLine="0"/>
              <w:jc w:val="left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语音控制</w:t>
            </w:r>
          </w:p>
        </w:tc>
        <w:tc>
          <w:tcPr>
            <w:tcW w:w="3061" w:type="dxa"/>
          </w:tcPr>
          <w:p>
            <w:pPr>
              <w:spacing w:after="0" w:line="300" w:lineRule="exact"/>
              <w:ind w:firstLine="0"/>
              <w:jc w:val="left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通过语音指令（如</w:t>
            </w:r>
            <w:r>
              <w:rPr>
                <w:rFonts w:hint="eastAsia" w:ascii="Times New Roman" w:hAnsi="Times New Roman" w:eastAsia="宋体"/>
                <w:color w:val="000000"/>
                <w:sz w:val="22"/>
                <w:lang w:eastAsia="zh-CN"/>
              </w:rPr>
              <w:t>“</w:t>
            </w:r>
            <w:r>
              <w:rPr>
                <w:rFonts w:ascii="Times New Roman" w:hAnsi="Times New Roman" w:eastAsia="宋体"/>
                <w:color w:val="000000"/>
                <w:sz w:val="22"/>
              </w:rPr>
              <w:t>前进</w:t>
            </w:r>
            <w:r>
              <w:rPr>
                <w:rFonts w:hint="eastAsia" w:ascii="Times New Roman" w:hAnsi="Times New Roman" w:eastAsia="宋体"/>
                <w:color w:val="000000"/>
                <w:sz w:val="22"/>
                <w:lang w:eastAsia="zh-CN"/>
              </w:rPr>
              <w:t>”“</w:t>
            </w:r>
            <w:r>
              <w:rPr>
                <w:rFonts w:ascii="Times New Roman" w:hAnsi="Times New Roman" w:eastAsia="宋体"/>
                <w:color w:val="000000"/>
                <w:sz w:val="22"/>
              </w:rPr>
              <w:t>后退</w:t>
            </w:r>
            <w:r>
              <w:rPr>
                <w:rFonts w:hint="eastAsia" w:ascii="Times New Roman" w:hAnsi="Times New Roman" w:eastAsia="宋体"/>
                <w:color w:val="000000"/>
                <w:sz w:val="22"/>
                <w:lang w:eastAsia="zh-CN"/>
              </w:rPr>
              <w:t>”“</w:t>
            </w:r>
            <w:r>
              <w:rPr>
                <w:rFonts w:ascii="Times New Roman" w:hAnsi="Times New Roman" w:eastAsia="宋体"/>
                <w:color w:val="000000"/>
                <w:sz w:val="22"/>
              </w:rPr>
              <w:t>左转</w:t>
            </w:r>
            <w:r>
              <w:rPr>
                <w:rFonts w:hint="eastAsia" w:ascii="Times New Roman" w:hAnsi="Times New Roman" w:eastAsia="宋体"/>
                <w:color w:val="000000"/>
                <w:sz w:val="22"/>
                <w:lang w:eastAsia="zh-CN"/>
              </w:rPr>
              <w:t>”“</w:t>
            </w:r>
            <w:r>
              <w:rPr>
                <w:rFonts w:ascii="Times New Roman" w:hAnsi="Times New Roman" w:eastAsia="宋体"/>
                <w:color w:val="000000"/>
                <w:sz w:val="22"/>
              </w:rPr>
              <w:t>停止</w:t>
            </w:r>
            <w:r>
              <w:rPr>
                <w:rFonts w:hint="eastAsia" w:ascii="Times New Roman" w:hAnsi="Times New Roman" w:eastAsia="宋体"/>
                <w:color w:val="000000"/>
                <w:sz w:val="22"/>
                <w:lang w:eastAsia="zh-CN"/>
              </w:rPr>
              <w:t>”</w:t>
            </w:r>
            <w:r>
              <w:rPr>
                <w:rFonts w:ascii="Times New Roman" w:hAnsi="Times New Roman" w:eastAsia="宋体"/>
                <w:color w:val="000000"/>
                <w:sz w:val="22"/>
              </w:rPr>
              <w:t>等）控制小车行驶，实现语音交互式操控。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spacing w:after="0" w:line="30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2</w:t>
            </w:r>
          </w:p>
        </w:tc>
        <w:tc>
          <w:tcPr>
            <w:tcW w:w="1474" w:type="dxa"/>
          </w:tcPr>
          <w:p>
            <w:pPr>
              <w:spacing w:after="0" w:line="300" w:lineRule="exact"/>
              <w:ind w:firstLine="0"/>
              <w:jc w:val="left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视觉识别</w:t>
            </w:r>
          </w:p>
        </w:tc>
        <w:tc>
          <w:tcPr>
            <w:tcW w:w="3061" w:type="dxa"/>
          </w:tcPr>
          <w:p>
            <w:pPr>
              <w:spacing w:after="0" w:line="300" w:lineRule="exact"/>
              <w:ind w:firstLine="0"/>
              <w:jc w:val="left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通过摄像头等视觉模块识别颜色块、二维码、交通标识等目标，并据此执行相应动作（如循色行驶、识别标识定点停车等）。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</w:tcPr>
          <w:p>
            <w:pPr>
              <w:spacing w:after="0" w:line="300" w:lineRule="exact"/>
              <w:ind w:firstLine="0"/>
              <w:jc w:val="center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3</w:t>
            </w:r>
          </w:p>
        </w:tc>
        <w:tc>
          <w:tcPr>
            <w:tcW w:w="1474" w:type="dxa"/>
          </w:tcPr>
          <w:p>
            <w:pPr>
              <w:spacing w:after="0" w:line="300" w:lineRule="exact"/>
              <w:ind w:firstLine="0"/>
              <w:jc w:val="left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手机APP/上位机实时监控与远程控制</w:t>
            </w:r>
          </w:p>
        </w:tc>
        <w:tc>
          <w:tcPr>
            <w:tcW w:w="3061" w:type="dxa"/>
          </w:tcPr>
          <w:p>
            <w:pPr>
              <w:spacing w:after="0" w:line="300" w:lineRule="exact"/>
              <w:ind w:firstLine="0"/>
              <w:jc w:val="left"/>
            </w:pPr>
            <w:r>
              <w:rPr>
                <w:rFonts w:ascii="Times New Roman" w:hAnsi="Times New Roman" w:eastAsia="宋体"/>
                <w:color w:val="000000"/>
                <w:sz w:val="22"/>
              </w:rPr>
              <w:t>通过蓝牙或WiFi模块与手机APP/上位机通信，实时显示小车速度、电量、超声波测距等状态信息，并支持远程控制小车。</w:t>
            </w:r>
          </w:p>
        </w:tc>
      </w:tr>
    </w:tbl>
    <w:p>
      <w:pPr>
        <w:spacing w:before="0" w:after="0" w:line="400" w:lineRule="exact"/>
        <w:ind w:firstLine="640"/>
        <w:jc w:val="both"/>
      </w:pP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黑体"/>
          <w:b w:val="0"/>
          <w:color w:val="000000"/>
          <w:sz w:val="32"/>
        </w:rPr>
        <w:t>四、评审说明</w:t>
      </w:r>
    </w:p>
    <w:p>
      <w:pPr>
        <w:spacing w:before="0" w:after="0" w:line="400" w:lineRule="exact"/>
        <w:ind w:firstLine="640"/>
        <w:jc w:val="both"/>
        <w:rPr>
          <w:rFonts w:ascii="Times New Roman" w:hAnsi="Times New Roman" w:eastAsia="仿宋_GB2312"/>
          <w:b w:val="0"/>
          <w:color w:val="000000"/>
          <w:sz w:val="32"/>
        </w:rPr>
      </w:pPr>
      <w:r>
        <w:rPr>
          <w:rFonts w:ascii="Times New Roman" w:hAnsi="Times New Roman" w:eastAsia="仿宋_GB2312"/>
          <w:b w:val="0"/>
          <w:color w:val="000000"/>
          <w:sz w:val="32"/>
        </w:rPr>
        <w:t>（一）现场竞赛得分＝基础分（80分）＋创新分（20分），满分100分，现场评委按本细则逐项评分。基础分五项任务按任务一至任务五顺序逐关进行，各任务得分之和即为基础分。</w:t>
      </w: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仿宋_GB2312"/>
          <w:b w:val="0"/>
          <w:color w:val="000000"/>
          <w:sz w:val="32"/>
        </w:rPr>
        <w:t>（二）严禁直接使用网上完整开源工程成品，核心逻辑须由队伍理解掌握，评委将结合答辩问询、代码抽检判定违规。</w:t>
      </w:r>
    </w:p>
    <w:p>
      <w:pPr>
        <w:spacing w:before="0" w:after="0" w:line="400" w:lineRule="exact"/>
        <w:ind w:firstLine="640"/>
        <w:jc w:val="both"/>
      </w:pPr>
      <w:r>
        <w:rPr>
          <w:rFonts w:ascii="Times New Roman" w:hAnsi="Times New Roman" w:eastAsia="仿宋_GB2312"/>
          <w:b w:val="0"/>
          <w:color w:val="000000"/>
          <w:sz w:val="32"/>
        </w:rPr>
        <w:t>（三）现场评委可根据队伍实际完成情况对功能实现与创新功能进行确认。</w:t>
      </w:r>
    </w:p>
    <w:p>
      <w:pPr>
        <w:rPr>
          <w:rFonts w:ascii="Times New Roman" w:hAnsi="Times New Roman" w:eastAsia="仿宋_GB2312"/>
          <w:b w:val="0"/>
          <w:color w:val="000000"/>
          <w:sz w:val="32"/>
        </w:rPr>
      </w:pP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kMWVhMzhjNzI4NDI3MjVlM2FmOTc1NGU3ZmRlYmE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205C9C"/>
    <w:rsid w:val="1E9C505D"/>
    <w:rsid w:val="2B0441AB"/>
    <w:rsid w:val="30F33B8C"/>
    <w:rsid w:val="32ED70CC"/>
    <w:rsid w:val="33C47EDE"/>
    <w:rsid w:val="375A12C0"/>
    <w:rsid w:val="3A53406D"/>
    <w:rsid w:val="3EDE2871"/>
    <w:rsid w:val="41407F5D"/>
    <w:rsid w:val="488E6CA2"/>
    <w:rsid w:val="576B3392"/>
    <w:rsid w:val="62A46F27"/>
    <w:rsid w:val="6A225350"/>
    <w:rsid w:val="6CE25A64"/>
    <w:rsid w:val="73BA45FB"/>
    <w:rsid w:val="783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autoRedefine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autoRedefine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autoRedefine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autoRedefine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autoRedefine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autoRedefine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autoRedefine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autoRedefine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autoRedefine/>
    <w:semiHidden/>
    <w:unhideWhenUsed/>
    <w:qFormat/>
    <w:uiPriority w:val="1"/>
  </w:style>
  <w:style w:type="table" w:default="1" w:styleId="3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autoRedefine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autoRedefine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autoRedefine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autoRedefine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autoRedefine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autoRedefine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autoRedefine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autoRedefine/>
    <w:unhideWhenUsed/>
    <w:qFormat/>
    <w:uiPriority w:val="99"/>
    <w:pPr>
      <w:spacing w:after="120"/>
    </w:pPr>
  </w:style>
  <w:style w:type="paragraph" w:styleId="20">
    <w:name w:val="List Number 3"/>
    <w:basedOn w:val="1"/>
    <w:autoRedefine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autoRedefine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autoRedefine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autoRedefine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autoRedefine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autoRedefine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autoRedefine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autoRedefine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autoRedefine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autoRedefine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autoRedefine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autoRedefine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autoRedefine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autoRedefine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autoRedefine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autoRedefine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autoRedefine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autoRedefine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autoRedefine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autoRedefine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autoRedefine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autoRedefine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autoRedefine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autoRedefine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autoRedefine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autoRedefine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autoRedefine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autoRedefine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autoRedefine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autoRedefine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autoRedefine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autoRedefine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autoRedefine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autoRedefine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autoRedefine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autoRedefine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autoRedefine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autoRedefine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autoRedefine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autoRedefine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autoRedefine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autoRedefine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autoRedefine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autoRedefine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autoRedefine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autoRedefine/>
    <w:qFormat/>
    <w:uiPriority w:val="22"/>
    <w:rPr>
      <w:b/>
      <w:bCs/>
    </w:rPr>
  </w:style>
  <w:style w:type="character" w:styleId="134">
    <w:name w:val="Emphasis"/>
    <w:basedOn w:val="132"/>
    <w:autoRedefine/>
    <w:qFormat/>
    <w:uiPriority w:val="20"/>
    <w:rPr>
      <w:i/>
      <w:iCs/>
    </w:rPr>
  </w:style>
  <w:style w:type="character" w:customStyle="1" w:styleId="135">
    <w:name w:val="Header Char"/>
    <w:basedOn w:val="132"/>
    <w:link w:val="25"/>
    <w:autoRedefine/>
    <w:qFormat/>
    <w:uiPriority w:val="99"/>
  </w:style>
  <w:style w:type="character" w:customStyle="1" w:styleId="136">
    <w:name w:val="Footer Char"/>
    <w:basedOn w:val="132"/>
    <w:link w:val="24"/>
    <w:autoRedefine/>
    <w:qFormat/>
    <w:uiPriority w:val="99"/>
  </w:style>
  <w:style w:type="paragraph" w:styleId="137">
    <w:name w:val="No Spacing"/>
    <w:autoRedefine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autoRedefine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autoRedefine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autoRedefine/>
    <w:qFormat/>
    <w:uiPriority w:val="99"/>
  </w:style>
  <w:style w:type="character" w:customStyle="1" w:styleId="145">
    <w:name w:val="Body Text 2 Char"/>
    <w:basedOn w:val="132"/>
    <w:link w:val="28"/>
    <w:autoRedefine/>
    <w:qFormat/>
    <w:uiPriority w:val="99"/>
  </w:style>
  <w:style w:type="character" w:customStyle="1" w:styleId="146">
    <w:name w:val="Body Text 3 Char"/>
    <w:basedOn w:val="132"/>
    <w:link w:val="17"/>
    <w:autoRedefine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autoRedefine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autoRedefine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autoRedefine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autoRedefine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autoRedefine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autoRedefine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autoRedefine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autoRedefine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autoRedefine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autoRedefine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autoRedefine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autoRedefine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5041</Words>
  <Characters>5239</Characters>
  <Lines>0</Lines>
  <Paragraphs>0</Paragraphs>
  <TotalTime>0</TotalTime>
  <ScaleCrop>false</ScaleCrop>
  <LinksUpToDate>false</LinksUpToDate>
  <CharactersWithSpaces>5277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范保程</cp:lastModifiedBy>
  <dcterms:modified xsi:type="dcterms:W3CDTF">2026-09-15T08:51:23Z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F8F0A8754AB946199C59E95F3FC8C4A2_12</vt:lpwstr>
  </property>
  <property fmtid="{D5CDD505-2E9C-101B-9397-08002B2CF9AE}" pid="4" name="KSOTemplateDocerSaveRecord">
    <vt:lpwstr>eyJoZGlkIjoiZDkzN2ZkYWI3MWJlMmUwZjczODY2MGY0YzNkMzQ2NjQiLCJ1c2VySWQiOiI3MjA1MzM0MDkifQ==</vt:lpwstr>
  </property>
</Properties>
</file>